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before="0"/>
      </w:pPr>
      <w:r>
        <w:rPr>
          <w:rFonts w:ascii="Montserrat" w:cs="Montserrat" w:eastAsia="Montserrat" w:hAnsi="Montserrat"/>
          <w:b/>
          <w:bCs/>
          <w:color w:val="141518"/>
          <w:sz w:val="56"/>
          <w:szCs w:val="56"/>
        </w:rPr>
        <w:t xml:space="preserve">Agent’s Post-Closing Checklist</w:t>
      </w:r>
    </w:p>
    <w:p>
      <w:pPr>
        <w:pBdr>
          <w:bottom w:val="single" w:color="D9D9D9" w:sz="2" w:space="1"/>
        </w:pBdr>
        <w:spacing w:after="120" w:before="360"/>
      </w:pPr>
      <w:r>
        <w:rPr>
          <w:rFonts w:ascii="Montserrat" w:cs="Montserrat" w:eastAsia="Montserrat" w:hAnsi="Montserrat"/>
          <w:b/>
          <w:bCs/>
          <w:color w:val="141518"/>
          <w:sz w:val="32"/>
          <w:szCs w:val="32"/>
        </w:rPr>
        <w:t xml:space="preserve">1. Confirm Closing Completion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Verify escrow has disbursed funds correctly (commissions, credits, payoffs).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Confirm loan funding and recording of the deed with the county.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Ensure clients have received copies of the signed settlement statement and closing package.</w:t>
      </w:r>
    </w:p>
    <w:p>
      <w:pPr>
        <w:pBdr>
          <w:bottom w:val="single" w:color="D9D9D9" w:sz="2" w:space="1"/>
        </w:pBdr>
        <w:spacing w:after="120" w:before="360"/>
      </w:pPr>
      <w:r>
        <w:rPr>
          <w:rFonts w:ascii="Montserrat" w:cs="Montserrat" w:eastAsia="Montserrat" w:hAnsi="Montserrat"/>
          <w:b/>
          <w:bCs/>
          <w:color w:val="141518"/>
          <w:sz w:val="32"/>
          <w:szCs w:val="32"/>
        </w:rPr>
        <w:t xml:space="preserve">2. Key &amp; Access Handoff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Confirm buyer has received all keys, garage remotes, gate codes, and manuals.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Double-check that any lockboxes or signs have been removed.</w:t>
      </w:r>
    </w:p>
    <w:p>
      <w:pPr>
        <w:pBdr>
          <w:bottom w:val="single" w:color="D9D9D9" w:sz="2" w:space="1"/>
        </w:pBdr>
        <w:spacing w:after="120" w:before="360"/>
      </w:pPr>
      <w:r>
        <w:rPr>
          <w:rFonts w:ascii="Montserrat" w:cs="Montserrat" w:eastAsia="Montserrat" w:hAnsi="Montserrat"/>
          <w:b/>
          <w:bCs/>
          <w:color w:val="141518"/>
          <w:sz w:val="32"/>
          <w:szCs w:val="32"/>
        </w:rPr>
        <w:t xml:space="preserve">3. Client Support &amp; Transition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Provide clients with a “welcome home” or thank-you package.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Confirm utilities and HOA transfers have been completed.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Share vendor recommendations (movers, landscapers, cleaners, contractors, etc.).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Remind sellers to cancel homeowner’s insurance once recording is verified.</w:t>
      </w:r>
    </w:p>
    <w:p>
      <w:pPr>
        <w:pBdr>
          <w:bottom w:val="single" w:color="D9D9D9" w:sz="2" w:space="1"/>
        </w:pBdr>
        <w:spacing w:after="120" w:before="360"/>
      </w:pPr>
      <w:r>
        <w:rPr>
          <w:rFonts w:ascii="Montserrat" w:cs="Montserrat" w:eastAsia="Montserrat" w:hAnsi="Montserrat"/>
          <w:b/>
          <w:bCs/>
          <w:color w:val="141518"/>
          <w:sz w:val="32"/>
          <w:szCs w:val="32"/>
        </w:rPr>
        <w:t xml:space="preserve">4. Compliance &amp; File Completion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Submit the final closing package to your brokerage for compliance review.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Archive transaction records, emails, and disclosures in accordance with state and brokerage requirements.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Save a copy of the final settlement statement for tax records.</w:t>
      </w:r>
    </w:p>
    <w:p>
      <w:pPr>
        <w:pBdr>
          <w:bottom w:val="single" w:color="D9D9D9" w:sz="2" w:space="1"/>
        </w:pBdr>
        <w:spacing w:after="120" w:before="360"/>
      </w:pPr>
      <w:r>
        <w:rPr>
          <w:rFonts w:ascii="Montserrat" w:cs="Montserrat" w:eastAsia="Montserrat" w:hAnsi="Montserrat"/>
          <w:b/>
          <w:bCs/>
          <w:color w:val="141518"/>
          <w:sz w:val="32"/>
          <w:szCs w:val="32"/>
        </w:rPr>
        <w:t xml:space="preserve">5. Relationship Building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Follow up within 1–2 weeks to ensure the client has settled in smoothly.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Add clients to your CRM for future communication and home anniversary reminders.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Send a handwritten thank-you note, call, or small gift.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Request an online review or testimonial while the experience is fresh.</w:t>
      </w:r>
    </w:p>
    <w:p>
      <w:pPr>
        <w:pBdr>
          <w:bottom w:val="single" w:color="D9D9D9" w:sz="2" w:space="1"/>
        </w:pBdr>
        <w:spacing w:after="120" w:before="360"/>
      </w:pPr>
      <w:r>
        <w:rPr>
          <w:rFonts w:ascii="Montserrat" w:cs="Montserrat" w:eastAsia="Montserrat" w:hAnsi="Montserrat"/>
          <w:b/>
          <w:bCs/>
          <w:color w:val="141518"/>
          <w:sz w:val="32"/>
          <w:szCs w:val="32"/>
        </w:rPr>
        <w:t xml:space="preserve">6. Long-Term Touchpoints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Set reminders for:</w:t>
      </w:r>
    </w:p>
    <w:p>
      <w:pPr>
        <w:spacing w:after="40"/>
        <w:ind w:left="840" w:hanging="240"/>
      </w:pPr>
      <w:r>
        <w:rPr>
          <w:rFonts w:ascii="Source Sans 3" w:cs="Source Sans 3" w:eastAsia="Source Sans 3" w:hAnsi="Source Sans 3"/>
          <w:color w:val="A6A6A6"/>
          <w:sz w:val="20"/>
          <w:szCs w:val="20"/>
        </w:rPr>
        <w:t xml:space="preserve">–  </w:t>
      </w:r>
      <w:r>
        <w:rPr>
          <w:rFonts w:ascii="Source Sans 3" w:cs="Source Sans 3" w:eastAsia="Source Sans 3" w:hAnsi="Source Sans 3"/>
          <w:color w:val="3F4247"/>
          <w:sz w:val="20"/>
          <w:szCs w:val="20"/>
        </w:rPr>
        <w:t xml:space="preserve">30-day check-in</w:t>
      </w:r>
    </w:p>
    <w:p>
      <w:pPr>
        <w:spacing w:after="40"/>
        <w:ind w:left="840" w:hanging="240"/>
      </w:pPr>
      <w:r>
        <w:rPr>
          <w:rFonts w:ascii="Source Sans 3" w:cs="Source Sans 3" w:eastAsia="Source Sans 3" w:hAnsi="Source Sans 3"/>
          <w:color w:val="A6A6A6"/>
          <w:sz w:val="20"/>
          <w:szCs w:val="20"/>
        </w:rPr>
        <w:t xml:space="preserve">–  </w:t>
      </w:r>
      <w:r>
        <w:rPr>
          <w:rFonts w:ascii="Source Sans 3" w:cs="Source Sans 3" w:eastAsia="Source Sans 3" w:hAnsi="Source Sans 3"/>
          <w:color w:val="3F4247"/>
          <w:sz w:val="20"/>
          <w:szCs w:val="20"/>
        </w:rPr>
        <w:t xml:space="preserve">6-month check-in</w:t>
      </w:r>
    </w:p>
    <w:p>
      <w:pPr>
        <w:spacing w:after="40"/>
        <w:ind w:left="840" w:hanging="240"/>
      </w:pPr>
      <w:r>
        <w:rPr>
          <w:rFonts w:ascii="Source Sans 3" w:cs="Source Sans 3" w:eastAsia="Source Sans 3" w:hAnsi="Source Sans 3"/>
          <w:color w:val="A6A6A6"/>
          <w:sz w:val="20"/>
          <w:szCs w:val="20"/>
        </w:rPr>
        <w:t xml:space="preserve">–  </w:t>
      </w:r>
      <w:r>
        <w:rPr>
          <w:rFonts w:ascii="Source Sans 3" w:cs="Source Sans 3" w:eastAsia="Source Sans 3" w:hAnsi="Source Sans 3"/>
          <w:color w:val="3F4247"/>
          <w:sz w:val="20"/>
          <w:szCs w:val="20"/>
        </w:rPr>
        <w:t xml:space="preserve">1-year home anniversary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Provide helpful homeowner resources (seasonal maintenance checklist, tax prep reminders, etc.).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Stay top-of-mind for referrals and repeat business.</w:t>
      </w:r>
    </w:p>
    <w:sectPr>
      <w:headerReference w:type="default" r:id="rId7"/>
      <w:footerReference w:type="default" r:id="rId8"/>
      <w:pgSz w:w="12240" w:h="15840" w:orient="portrait"/>
      <w:pgMar w:top="1820" w:right="1080" w:bottom="600" w:left="1080" w:header="1440" w:footer="28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9D9D9" w:sz="4" w:space="1"/>
      </w:pBdr>
      <w:tabs>
        <w:tab w:val="right" w:pos="9026"/>
      </w:tabs>
      <w:spacing w:after="0" w:before="60"/>
      <w:jc w:val="right"/>
    </w:pPr>
    <w:r>
      <w:rPr>
        <w:rFonts w:ascii="Montserrat" w:cs="Montserrat" w:eastAsia="Montserrat" w:hAnsi="Montserrat"/>
        <w:b/>
        <w:bCs/>
        <w:color w:val="141518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Montserrat" w:cs="Montserrat" w:eastAsia="Montserrat" w:hAnsi="Montserrat"/>
        <w:color w:val="7F7F7F"/>
        <w:sz w:val="18"/>
        <w:szCs w:val="18"/>
      </w:rPr>
      <w:t xml:space="preserve"> | Page</w:t>
    </w:r>
  </w:p>
  <w:p>
    <w:pPr>
      <w:spacing w:after="0" w:before="0"/>
      <w:jc w:val="right"/>
    </w:pPr>
    <w:r>
      <w:rPr>
        <w:rFonts w:ascii="Montserrat" w:cs="Montserrat" w:eastAsia="Montserrat" w:hAnsi="Montserrat"/>
        <w:b/>
        <w:bCs/>
        <w:color w:val="A6A6A6"/>
        <w:sz w:val="12"/>
        <w:szCs w:val="12"/>
      </w:rPr>
      <w:t xml:space="preserve">We don’t just close transactions. We Open Doors.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A6A6A6" w:sz="4" w:space="1"/>
      </w:pBdr>
      <w:spacing w:after="120"/>
    </w:pPr>
    <w:r>
      <w:rPr>
        <w:rFonts w:ascii="Unbounded" w:cs="Unbounded" w:eastAsia="Unbounded" w:hAnsi="Unbounded"/>
        <w:b w:val="false"/>
        <w:bCs w:val="false"/>
        <w:color w:val="141518"/>
        <w:sz w:val="20"/>
        <w:szCs w:val="20"/>
      </w:rPr>
      <w:t xml:space="preserve">the</w:t>
    </w:r>
    <w:r>
      <w:rPr>
        <w:rFonts w:ascii="Montserrat" w:cs="Montserrat" w:eastAsia="Montserrat" w:hAnsi="Montserrat"/>
        <w:b/>
        <w:bCs/>
        <w:color w:val="141518"/>
        <w:sz w:val="20"/>
        <w:szCs w:val="20"/>
      </w:rPr>
      <w:t xml:space="preserve"> TITLE AGENCY</w:t>
    </w:r>
    <w:r>
      <w:rPr>
        <w:rFonts w:ascii="Montserrat" w:cs="Montserrat" w:eastAsia="Montserrat" w:hAnsi="Montserrat"/>
        <w:i w:val="false"/>
        <w:iCs w:val="false"/>
        <w:color w:val="666666"/>
        <w:sz w:val="18"/>
        <w:szCs w:val="18"/>
      </w:rPr>
      <w:t xml:space="preserve">  —  </w:t>
    </w:r>
    <w:r>
      <w:rPr>
        <w:rFonts w:ascii="Montserrat" w:cs="Montserrat" w:eastAsia="Montserrat" w:hAnsi="Montserrat"/>
        <w:i/>
        <w:iCs/>
        <w:color w:val="666666"/>
        <w:sz w:val="18"/>
        <w:szCs w:val="18"/>
      </w:rPr>
      <w:t xml:space="preserve">Agent's Post-Closing Checklist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spacing w:after="60"/>
        <w:ind w:left="480" w:hanging="240"/>
      </w:pPr>
      <w:rPr>
        <w:rFonts w:ascii="Source Sans 3" w:cs="Source Sans 3" w:eastAsia="Source Sans 3" w:hAnsi="Source Sans 3"/>
        <w:color w:val="1E1F22"/>
        <w:sz w:val="22"/>
        <w:szCs w:val="22"/>
      </w:r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☐"/>
      <w:lvlJc w:val="left"/>
      <w:pPr>
        <w:spacing w:after="80"/>
        <w:ind w:left="480" w:hanging="240"/>
      </w:pPr>
      <w:rPr>
        <w:rFonts w:ascii="Segoe UI Symbol" w:cs="Segoe UI Symbol" w:eastAsia="Segoe UI Symbol" w:hAnsi="Segoe UI Symbol"/>
        <w:color w:val="1E1F22"/>
        <w:sz w:val="22"/>
        <w:szCs w:val="22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ource Sans 3" w:cs="Source Sans 3" w:eastAsia="Source Sans 3" w:hAnsi="Source Sans 3"/>
        <w:color w:val="1E1F22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2026-05-12T00:02:01.665Z</dcterms:created>
  <dcterms:modified xsi:type="dcterms:W3CDTF">2026-05-12T00:02:01.665Z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