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Seller’s Pre-Listing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Home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Declutter and depersonalize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remove family photos, collections, and personal décor.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Deep clean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hire professional cleaners for carpets, windows, appliances, and baseboards.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Repairs and maintenance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Touch-up paint (interior and exterior)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Fix leaky faucets, squeaky doors, or broken handles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Replace burned-out bulbs and update dated light fixtures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Service HVAC, water heater, and other mechanical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Enhance curb appeal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Mow, trim, weed, and refresh landscaping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Power wash driveway, walkways, and patio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Paint or refinish the front door and check house numbers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Staging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Rearrange or remove furniture for flow and spaciousness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Consider professional staging for higher-value listings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Documentation &amp; Disclosures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Gather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HOA documents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(CC&amp;Rs, bylaws, transfer instructions, fee schedule).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warranties, manuals, and receipts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for major appliances, roof, HVAC, and repairs.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seller property disclosure statement (SPDS)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any Arizona state-required forms.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a recent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mortgage statement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payoff information.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utility bills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(electric, water, gas, internet, trash) for buyer reference.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Secure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surveys, permits, or floorplans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available.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Pre-Listing Inspections (Optional but Recommended)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Consider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home inspection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identify potential issues early.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Order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roof or termite inspection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avoid surprises.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Complete any safety or code repairs before showings.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Marketing Preparation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Approve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MLS remarks and property description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your agent.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Schedule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professional photography, videography, drone, or 3D tour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feature sheets or marketing flyers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Prepare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Just Listed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announcements for social media and mailers.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the home is “showing ready”: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Lights on, blinds open, clutter removed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Clean counters, empty trash, and secure valuables</w:t>
      </w:r>
    </w:p>
    <w:p>
      <w:pPr>
        <w:spacing w:after="40"/>
        <w:ind w:left="840" w:hanging="240"/>
      </w:pPr>
      <w:r>
        <w:rPr>
          <w:rFonts w:ascii="Source Sans 3" w:cs="Source Sans 3" w:eastAsia="Source Sans 3" w:hAnsi="Source Sans 3"/>
          <w:color w:val="A6A6A6"/>
          <w:sz w:val="20"/>
          <w:szCs w:val="20"/>
        </w:rPr>
        <w:t xml:space="preserve">–  </w:t>
      </w:r>
      <w:r>
        <w:rPr>
          <w:rFonts w:ascii="Source Sans 3" w:cs="Source Sans 3" w:eastAsia="Source Sans 3" w:hAnsi="Source Sans 3"/>
          <w:color w:val="3F4247"/>
          <w:sz w:val="20"/>
          <w:szCs w:val="20"/>
        </w:rPr>
        <w:t xml:space="preserve">Make a plan for pets during showings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Seller Logistics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Decide on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showing availability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(lockbox, appointment only, or open access).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preferred closing date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and discuss moving timeline.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Arrange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storage or moving services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needed.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Create a plan for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forwarding mail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once under contract.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Communication &amp;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the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listing agreement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with your agent.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pricing strategy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list price, comps, and market conditions.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Understand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typical buyer requests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(credits, repairs, appliances).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how you’d like to receive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updates and showing feedback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Discuss negotiation scenarios (multiple offers, cash vs. financed buyers).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7. Pre-Launch Final Check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Walk through with your agent to spot last-minute issues.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property is professionally photographed and staged.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MLS listing accuracy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: beds, baths, square footage, lot size, and HOA details.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Place yard sign and lockbox once the listing goes live.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Seller’s Pre-Listing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2026-05-12T00:02:01.967Z</dcterms:created>
  <dcterms:modified xsi:type="dcterms:W3CDTF">2026-05-12T00:02:01.967Z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